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5758"/>
        </w:tabs>
        <w:rPr>
          <w:color w:val="FF0000"/>
        </w:rPr>
      </w:pPr>
    </w:p>
    <w:p>
      <w:pPr>
        <w:rPr>
          <w:color w:val="FF0000"/>
        </w:rPr>
      </w:pPr>
      <w:r>
        <w:rPr>
          <w:color w:val="FF0000"/>
        </w:rPr>
        <w:pict>
          <v:shape id="_x0000_i1025" o:spt="136" type="#_x0000_t136" style="height:48.65pt;width:443.35pt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达州市建筑业协会联合委员会" style="font-family:宋体;font-size:36pt;v-text-align:center;"/>
            <w10:wrap type="none"/>
            <w10:anchorlock/>
          </v:shape>
        </w:pict>
      </w:r>
    </w:p>
    <w:p/>
    <w:p>
      <w:pPr>
        <w:jc w:val="center"/>
        <w:rPr>
          <w:rFonts w:ascii="方正行楷简体" w:hAnsi="方正行楷简体" w:eastAsia="方正行楷简体" w:cs="方正行楷简体"/>
          <w:color w:val="FF0000"/>
          <w:sz w:val="144"/>
          <w:szCs w:val="144"/>
        </w:rPr>
      </w:pPr>
      <w:r>
        <w:rPr>
          <w:rFonts w:hint="eastAsia" w:ascii="方正行楷简体" w:hAnsi="方正行楷简体" w:eastAsia="方正行楷简体" w:cs="方正行楷简体"/>
          <w:color w:val="FF0000"/>
          <w:sz w:val="144"/>
          <w:szCs w:val="144"/>
        </w:rPr>
        <w:t>简  报</w:t>
      </w:r>
    </w:p>
    <w:p>
      <w:pPr>
        <w:autoSpaceDE w:val="0"/>
        <w:autoSpaceDN w:val="0"/>
        <w:adjustRightInd w:val="0"/>
        <w:spacing w:line="600" w:lineRule="exact"/>
        <w:jc w:val="center"/>
        <w:outlineLvl w:val="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2019年第14期（总第24期）</w:t>
      </w:r>
    </w:p>
    <w:p>
      <w:pPr>
        <w:autoSpaceDE w:val="0"/>
        <w:autoSpaceDN w:val="0"/>
        <w:adjustRightInd w:val="0"/>
        <w:spacing w:line="600" w:lineRule="exact"/>
        <w:outlineLvl w:val="0"/>
        <w:rPr>
          <w:rFonts w:eastAsia="方正仿宋简体"/>
          <w:b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outlineLvl w:val="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中共达州市建筑业协会联合委员会编     2019年12月13日</w:t>
      </w:r>
    </w:p>
    <w:p>
      <w:pPr>
        <w:spacing w:line="32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color w:val="FF0000"/>
          <w:u w:val="thick"/>
        </w:rPr>
        <w:t xml:space="preserve">                                                                                      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达州市建筑业协会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深入传达学习中共四川省委十一届六次</w:t>
      </w:r>
    </w:p>
    <w:p>
      <w:pPr>
        <w:spacing w:line="578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全会精神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2019年12月12日上午，中共达州市建筑业协会联合委员会举行每月一期的党建活动，协会入党积极分子及工作骨干参加，第一书记刘虹同志主持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传达学习了中国共产党四川省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第十一届委员会第六次全体会议相关内容和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市住建局12月党建专题组织生活会精神，并组织参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人员围绕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会议精神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讨论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。大家认识到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省委十一届六次全会的召开意义深远，影响远大，对推动贯彻落实党的十九届四中全会精神、推进城乡基层治理制度创新和能力建设具有重大意义，纷纷表示，将以全会精神为引领，增强“四个意识”，坚定“四个自信”，努力做到“两个维护”，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锐意进取、开拓创新，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着力构建新时代达州基层社会治理新格局，加快推进全市治理体系和治理能力现代化建设扎实工作、奉献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  <w:lang w:eastAsia="zh-CN"/>
        </w:rPr>
        <w:t>力量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强调，要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习近平新时代中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</w:t>
      </w:r>
      <w:r>
        <w:rPr>
          <w:rFonts w:hint="eastAsia" w:ascii="仿宋_GB2312" w:hAnsi="仿宋_GB2312" w:eastAsia="仿宋_GB2312" w:cs="仿宋_GB2312"/>
          <w:sz w:val="32"/>
          <w:szCs w:val="32"/>
        </w:rPr>
        <w:t>特色社会主义思想为指引，坚决贯彻落实省委、市委和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市第二综合党委、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市住建局系列工作部署，切实提高政治站位，不断提升服务水平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要坚持党建引领，创新工作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思维</w:t>
      </w:r>
      <w:r>
        <w:rPr>
          <w:rFonts w:hint="eastAsia" w:ascii="仿宋_GB2312" w:hAnsi="仿宋_GB2312" w:eastAsia="仿宋_GB2312" w:cs="仿宋_GB2312"/>
          <w:sz w:val="32"/>
          <w:szCs w:val="32"/>
        </w:rPr>
        <w:t>，入党积极分子要树立标兵意识，走前列、立榜样，及时总结全年工作，认真谋划来年工作，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进一步发挥好社会组织桥梁纽带作用，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为全市实现全省经济副中心和“两个定位”不断贡献协会的力量！</w:t>
      </w: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3002"/>
        <w:tblOverlap w:val="never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00" w:lineRule="exact"/>
              <w:rPr>
                <w:rFonts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抄报：达州市第二综合党委 达州市住建局党委</w:t>
            </w:r>
          </w:p>
          <w:p>
            <w:pPr>
              <w:spacing w:line="500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抄送：各会员单位党委、总支、支部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78" w:lineRule="exact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中共达州市建筑业协会联合委员会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eastAsia="方正仿宋简体"/>
                <w:b/>
                <w:bCs/>
                <w:sz w:val="28"/>
                <w:szCs w:val="28"/>
              </w:rPr>
              <w:t>201</w:t>
            </w:r>
            <w:r>
              <w:rPr>
                <w:rFonts w:hint="eastAsia" w:eastAsia="方正仿宋简体"/>
                <w:b/>
                <w:bCs/>
                <w:sz w:val="28"/>
                <w:szCs w:val="28"/>
              </w:rPr>
              <w:t>9年12月13日印</w:t>
            </w:r>
          </w:p>
        </w:tc>
      </w:tr>
    </w:tbl>
    <w:p>
      <w:pPr>
        <w:spacing w:line="578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A"/>
    <w:rsid w:val="000B579A"/>
    <w:rsid w:val="001C0D8D"/>
    <w:rsid w:val="003C1558"/>
    <w:rsid w:val="00434589"/>
    <w:rsid w:val="004734E5"/>
    <w:rsid w:val="00484F84"/>
    <w:rsid w:val="004F455A"/>
    <w:rsid w:val="00530B8B"/>
    <w:rsid w:val="00532002"/>
    <w:rsid w:val="005E6990"/>
    <w:rsid w:val="00634807"/>
    <w:rsid w:val="006B35D9"/>
    <w:rsid w:val="008D2C1A"/>
    <w:rsid w:val="00A50112"/>
    <w:rsid w:val="00BE1E91"/>
    <w:rsid w:val="00C51CDE"/>
    <w:rsid w:val="00C83091"/>
    <w:rsid w:val="00C839E7"/>
    <w:rsid w:val="00CA2BDD"/>
    <w:rsid w:val="00D466A4"/>
    <w:rsid w:val="00D704FE"/>
    <w:rsid w:val="00DE4ABC"/>
    <w:rsid w:val="00EB1D15"/>
    <w:rsid w:val="010C1907"/>
    <w:rsid w:val="017934FD"/>
    <w:rsid w:val="01B74364"/>
    <w:rsid w:val="02023B5B"/>
    <w:rsid w:val="02A6715E"/>
    <w:rsid w:val="036F0F8B"/>
    <w:rsid w:val="046E706A"/>
    <w:rsid w:val="04921D9F"/>
    <w:rsid w:val="051668CF"/>
    <w:rsid w:val="05CD5836"/>
    <w:rsid w:val="07503D82"/>
    <w:rsid w:val="07522C71"/>
    <w:rsid w:val="0762473D"/>
    <w:rsid w:val="07FC2D89"/>
    <w:rsid w:val="081E0FD2"/>
    <w:rsid w:val="0A0E53D0"/>
    <w:rsid w:val="0A973B61"/>
    <w:rsid w:val="0C647207"/>
    <w:rsid w:val="0C7158CE"/>
    <w:rsid w:val="0CC4464E"/>
    <w:rsid w:val="0D9860BE"/>
    <w:rsid w:val="0E5454F3"/>
    <w:rsid w:val="0E7E6A20"/>
    <w:rsid w:val="0F99478D"/>
    <w:rsid w:val="11061B63"/>
    <w:rsid w:val="116E3644"/>
    <w:rsid w:val="11A42C25"/>
    <w:rsid w:val="12351C19"/>
    <w:rsid w:val="12A64409"/>
    <w:rsid w:val="12F31179"/>
    <w:rsid w:val="13FE4109"/>
    <w:rsid w:val="14262425"/>
    <w:rsid w:val="151A171C"/>
    <w:rsid w:val="1713206A"/>
    <w:rsid w:val="19FF6DE7"/>
    <w:rsid w:val="1C374C23"/>
    <w:rsid w:val="1CCE53BF"/>
    <w:rsid w:val="1DD36A50"/>
    <w:rsid w:val="1EFE65DE"/>
    <w:rsid w:val="216F2341"/>
    <w:rsid w:val="234165B1"/>
    <w:rsid w:val="24DA6EFE"/>
    <w:rsid w:val="25624827"/>
    <w:rsid w:val="25B2235F"/>
    <w:rsid w:val="26911A6A"/>
    <w:rsid w:val="26A9634D"/>
    <w:rsid w:val="28A325B0"/>
    <w:rsid w:val="29016EBF"/>
    <w:rsid w:val="293D1F9A"/>
    <w:rsid w:val="29491FAF"/>
    <w:rsid w:val="2AB30138"/>
    <w:rsid w:val="2AE5745E"/>
    <w:rsid w:val="2AED47B2"/>
    <w:rsid w:val="2B4F2E41"/>
    <w:rsid w:val="2BC5653A"/>
    <w:rsid w:val="2BC635D7"/>
    <w:rsid w:val="2CD450FA"/>
    <w:rsid w:val="2CEF4547"/>
    <w:rsid w:val="2EB80431"/>
    <w:rsid w:val="2F627724"/>
    <w:rsid w:val="30F10893"/>
    <w:rsid w:val="3431016F"/>
    <w:rsid w:val="34342C1C"/>
    <w:rsid w:val="34924B78"/>
    <w:rsid w:val="34A83319"/>
    <w:rsid w:val="35547E0F"/>
    <w:rsid w:val="35704CD1"/>
    <w:rsid w:val="362A2F55"/>
    <w:rsid w:val="36B5441E"/>
    <w:rsid w:val="370740EA"/>
    <w:rsid w:val="372244E0"/>
    <w:rsid w:val="37D26E2F"/>
    <w:rsid w:val="37E17757"/>
    <w:rsid w:val="3894252A"/>
    <w:rsid w:val="39FD71EE"/>
    <w:rsid w:val="3A386901"/>
    <w:rsid w:val="3AB25590"/>
    <w:rsid w:val="3C23080E"/>
    <w:rsid w:val="3C8E0559"/>
    <w:rsid w:val="3CE3290F"/>
    <w:rsid w:val="3CEA5C9B"/>
    <w:rsid w:val="3CF15886"/>
    <w:rsid w:val="3DD527B3"/>
    <w:rsid w:val="3EBC0C35"/>
    <w:rsid w:val="3F8F01AF"/>
    <w:rsid w:val="3FF0459E"/>
    <w:rsid w:val="40A03EE3"/>
    <w:rsid w:val="41A57EAD"/>
    <w:rsid w:val="42122D22"/>
    <w:rsid w:val="42925156"/>
    <w:rsid w:val="45E22F3E"/>
    <w:rsid w:val="4624241F"/>
    <w:rsid w:val="46DC0C35"/>
    <w:rsid w:val="47584137"/>
    <w:rsid w:val="47C67A3B"/>
    <w:rsid w:val="4A7577D3"/>
    <w:rsid w:val="4C150D0E"/>
    <w:rsid w:val="4C3322AE"/>
    <w:rsid w:val="4CB05196"/>
    <w:rsid w:val="4CE94F1D"/>
    <w:rsid w:val="4DC9225F"/>
    <w:rsid w:val="4DF86B52"/>
    <w:rsid w:val="4EAF1527"/>
    <w:rsid w:val="4EBA2727"/>
    <w:rsid w:val="502116BA"/>
    <w:rsid w:val="513B416F"/>
    <w:rsid w:val="51BE11A0"/>
    <w:rsid w:val="536C5047"/>
    <w:rsid w:val="544B24E3"/>
    <w:rsid w:val="568B6D9A"/>
    <w:rsid w:val="575B6924"/>
    <w:rsid w:val="57E8017C"/>
    <w:rsid w:val="57FF4317"/>
    <w:rsid w:val="584E23A3"/>
    <w:rsid w:val="5890460D"/>
    <w:rsid w:val="58B50465"/>
    <w:rsid w:val="59C907EC"/>
    <w:rsid w:val="5B247605"/>
    <w:rsid w:val="5B6E6509"/>
    <w:rsid w:val="5B817FFE"/>
    <w:rsid w:val="5C342790"/>
    <w:rsid w:val="5CDC3420"/>
    <w:rsid w:val="5D697508"/>
    <w:rsid w:val="5D6F01B8"/>
    <w:rsid w:val="5DBE5BB8"/>
    <w:rsid w:val="5E377D23"/>
    <w:rsid w:val="60F00738"/>
    <w:rsid w:val="60F0684F"/>
    <w:rsid w:val="61111A03"/>
    <w:rsid w:val="61AF27B7"/>
    <w:rsid w:val="621D4EF5"/>
    <w:rsid w:val="62B77FEC"/>
    <w:rsid w:val="63705D28"/>
    <w:rsid w:val="63DA721C"/>
    <w:rsid w:val="65D61339"/>
    <w:rsid w:val="66504BC8"/>
    <w:rsid w:val="67B06E9F"/>
    <w:rsid w:val="67CE7EC5"/>
    <w:rsid w:val="67EA067D"/>
    <w:rsid w:val="68A36DF2"/>
    <w:rsid w:val="697301D6"/>
    <w:rsid w:val="69B95698"/>
    <w:rsid w:val="6A8305AB"/>
    <w:rsid w:val="6AE82F61"/>
    <w:rsid w:val="6B984516"/>
    <w:rsid w:val="6BDC0152"/>
    <w:rsid w:val="6C5C140B"/>
    <w:rsid w:val="6CAA4ABB"/>
    <w:rsid w:val="6CF61B7E"/>
    <w:rsid w:val="6DCD44A7"/>
    <w:rsid w:val="708573A1"/>
    <w:rsid w:val="724653CB"/>
    <w:rsid w:val="730A4BFF"/>
    <w:rsid w:val="73323062"/>
    <w:rsid w:val="73F85CEF"/>
    <w:rsid w:val="743E6BBC"/>
    <w:rsid w:val="745F5E6F"/>
    <w:rsid w:val="74BC6964"/>
    <w:rsid w:val="75297665"/>
    <w:rsid w:val="76786469"/>
    <w:rsid w:val="76D35C73"/>
    <w:rsid w:val="7A3D4125"/>
    <w:rsid w:val="7BB64224"/>
    <w:rsid w:val="7C5F1E1E"/>
    <w:rsid w:val="7C865521"/>
    <w:rsid w:val="7D3D0C06"/>
    <w:rsid w:val="7E487CDC"/>
    <w:rsid w:val="7F985365"/>
    <w:rsid w:val="7FD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719</Characters>
  <Lines>5</Lines>
  <Paragraphs>1</Paragraphs>
  <TotalTime>15</TotalTime>
  <ScaleCrop>false</ScaleCrop>
  <LinksUpToDate>false</LinksUpToDate>
  <CharactersWithSpaces>843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2019-04-10T03:00:00Z</dcterms:created>
  <dc:creator> Miao</dc:creator>
  <cp:lastModifiedBy> Miao</cp:lastModifiedBy>
  <cp:lastPrinted>2019-12-16T02:06:01Z</cp:lastPrinted>
  <dcterms:modified xsi:type="dcterms:W3CDTF">2019-12-16T02:16:34Z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